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23.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Corrélations</w:t>
      </w:r>
      <w:r>
        <w:t xml:space="preserve"> </w:t>
      </w:r>
      <w:r>
        <w:t xml:space="preserve">de</w:t>
      </w:r>
      <w:r>
        <w:t xml:space="preserve"> </w:t>
      </w:r>
      <w:r>
        <w:t xml:space="preserve">Pearson</w:t>
      </w:r>
      <w:r>
        <w:t xml:space="preserve"> </w:t>
      </w:r>
      <w:r>
        <w:t xml:space="preserve">et</w:t>
      </w:r>
      <w:r>
        <w:t xml:space="preserve"> </w:t>
      </w:r>
      <w:r>
        <w:t xml:space="preserve">de</w:t>
      </w:r>
      <w:r>
        <w:t xml:space="preserve"> </w:t>
      </w:r>
      <w:r>
        <w:t xml:space="preserve">Spearman</w:t>
      </w:r>
    </w:p>
    <w:p>
      <w:pPr>
        <w:pStyle w:val="Heading1"/>
      </w:pPr>
      <w:bookmarkStart w:id="21" w:name="notion-de-correlation"/>
      <w:bookmarkEnd w:id="21"/>
      <w:r>
        <w:t xml:space="preserve">Notion de corrélation</w:t>
      </w:r>
    </w:p>
    <w:p>
      <w:r>
        <w:t xml:space="preserve">La chose la plus importante à se rappeler en [bio]statistiques au niveau des corrélations, c'est que</w:t>
      </w:r>
      <w:r>
        <w:t xml:space="preserve"> </w:t>
      </w:r>
      <w:r>
        <w:rPr>
          <w:b/>
        </w:rPr>
        <w:t xml:space="preserve">corrélation n'est pas causalité</w:t>
      </w:r>
      <w:r>
        <w:t xml:space="preserve">, soit, en d'autres termes, ce n'est pas parce que</w:t>
      </w:r>
      <w:r>
        <w:t xml:space="preserve"> </w:t>
      </w:r>
      <w:r>
        <w:rPr>
          <w:i/>
        </w:rPr>
        <w:t xml:space="preserve">x</w:t>
      </w:r>
      <w:r>
        <w:t xml:space="preserve"> </w:t>
      </w:r>
      <w:r>
        <w:t xml:space="preserve">et</w:t>
      </w:r>
      <w:r>
        <w:t xml:space="preserve"> </w:t>
      </w:r>
      <w:r>
        <w:rPr>
          <w:i/>
        </w:rPr>
        <w:t xml:space="preserve">y</w:t>
      </w:r>
      <w:r>
        <w:t xml:space="preserve"> </w:t>
      </w:r>
      <w:r>
        <w:t xml:space="preserve">sont liés que</w:t>
      </w:r>
      <w:r>
        <w:t xml:space="preserve"> </w:t>
      </w:r>
      <w:r>
        <w:rPr>
          <w:i/>
        </w:rPr>
        <w:t xml:space="preserve">y</w:t>
      </w:r>
      <w:r>
        <w:t xml:space="preserve"> </w:t>
      </w:r>
      <w:r>
        <w:t xml:space="preserve">est la cause de</w:t>
      </w:r>
      <w:r>
        <w:t xml:space="preserve"> </w:t>
      </w:r>
      <w:r>
        <w:rPr>
          <w:i/>
        </w:rPr>
        <w:t xml:space="preserve">x</w:t>
      </w:r>
      <w:r>
        <w:t xml:space="preserve">.</w:t>
      </w:r>
    </w:p>
    <w:p>
      <w:r>
        <w:t xml:space="preserve">La corrélation au sens de Pearson calcule la force de la relation</w:t>
      </w:r>
      <w:r>
        <w:t xml:space="preserve"> </w:t>
      </w:r>
      <w:r>
        <w:rPr>
          <w:b/>
        </w:rPr>
        <w:t xml:space="preserve">linéaire</w:t>
      </w:r>
      <w:r>
        <w:t xml:space="preserve"> </w:t>
      </w:r>
      <w:r>
        <w:t xml:space="preserve">et linéaire seulement entre</w:t>
      </w:r>
      <w:r>
        <w:t xml:space="preserve"> </w:t>
      </w:r>
      <w:r>
        <w:rPr>
          <w:i/>
        </w:rPr>
        <w:t xml:space="preserve">x</w:t>
      </w:r>
      <w:r>
        <w:t xml:space="preserve"> </w:t>
      </w:r>
      <w:r>
        <w:t xml:space="preserve">et</w:t>
      </w:r>
      <w:r>
        <w:t xml:space="preserve"> </w:t>
      </w:r>
      <w:r>
        <w:rPr>
          <w:i/>
        </w:rPr>
        <w:t xml:space="preserve">y</w:t>
      </w:r>
      <w:r>
        <w:t xml:space="preserve"> </w:t>
      </w:r>
      <w:r>
        <w:t xml:space="preserve">alors que la corrélation au sens de Spearman calcule la force de la liaison</w:t>
      </w:r>
      <w:r>
        <w:t xml:space="preserve"> </w:t>
      </w:r>
      <w:r>
        <w:rPr>
          <w:b/>
        </w:rPr>
        <w:t xml:space="preserve">monotone</w:t>
      </w:r>
      <w:r>
        <w:t xml:space="preserve"> </w:t>
      </w:r>
      <w:r>
        <w:t xml:space="preserve">(au sens des fonctions monotones, donc croissantes ou décroissantes). Il est donc correct de dire que la corrélation de Pearson est une corrélation paramétrique et celle de Spearman une corrélation non paramétrique parce que la corrélation de Spearman est basée sur les rangs des valeurs. De façon plus précise, la corrélation de Spearman de</w:t>
      </w:r>
      <w:r>
        <w:t xml:space="preserve"> </w:t>
      </w:r>
      <m:oMath>
        <m:r>
          <m:rPr>
            <m:sty m:val="p"/>
          </m:rPr>
          <m:t>x</m:t>
        </m:r>
      </m:oMath>
      <w:r>
        <w:t xml:space="preserve"> </w:t>
      </w:r>
      <w:r>
        <w:t xml:space="preserve">et</w:t>
      </w:r>
      <w:r>
        <w:t xml:space="preserve"> </w:t>
      </w:r>
      <m:oMath>
        <m:r>
          <m:rPr>
            <m:sty m:val="p"/>
          </m:rPr>
          <m:t>y</m:t>
        </m:r>
      </m:oMath>
      <w:r>
        <w:t xml:space="preserve"> </w:t>
      </w:r>
      <w:r>
        <w:t xml:space="preserve">est exactement la corrélation de Pearson appliquée aux rangs de</w:t>
      </w:r>
      <w:r>
        <w:t xml:space="preserve"> </w:t>
      </w:r>
      <m:oMath>
        <m:r>
          <m:rPr>
            <m:sty m:val="p"/>
          </m:rPr>
          <m:t>x</m:t>
        </m:r>
      </m:oMath>
      <w:r>
        <w:t xml:space="preserve"> </w:t>
      </w:r>
      <w:r>
        <w:t xml:space="preserve">et de</w:t>
      </w:r>
      <w:r>
        <w:t xml:space="preserve"> </w:t>
      </w:r>
      <m:oMath>
        <m:r>
          <m:rPr>
            <m:sty m:val="p"/>
          </m:rPr>
          <m:t>y</m:t>
        </m:r>
      </m:oMath>
      <w:r>
        <w:t xml:space="preserve">.</w:t>
      </w:r>
    </w:p>
    <w:p>
      <w:pPr>
        <w:pStyle w:val="Heading1"/>
      </w:pPr>
      <w:bookmarkStart w:id="22" w:name="exemple-numerique"/>
      <w:bookmarkEnd w:id="22"/>
      <w:r>
        <w:t xml:space="preserve">Exemple numérique</w:t>
      </w:r>
    </w:p>
    <w:p>
      <w:r>
        <w:t xml:space="preserve">Pour bien illuster la différence entre ces deux types de corrélation, il suffit de regarder la corrélation entre</w:t>
      </w:r>
      <w:r>
        <w:t xml:space="preserve"> </w:t>
      </w:r>
      <m:oMath>
        <m:r>
          <m:rPr>
            <m:sty m:val="p"/>
          </m:rPr>
          <m:t>x</m:t>
        </m:r>
      </m:oMath>
      <w:r>
        <w:t xml:space="preserve"> </w:t>
      </w:r>
      <w:r>
        <w:t xml:space="preserve">et</w:t>
      </w:r>
      <w:r>
        <w:t xml:space="preserve"> </w:t>
      </w:r>
      <m:oMath>
        <m:r>
          <m:rPr>
            <m:sty m:val="p"/>
          </m:rPr>
          <m:t>y</m:t>
        </m:r>
        <m:r>
          <m:rPr>
            <m:sty m:val="p"/>
          </m:rPr>
          <m:t>=</m:t>
        </m:r>
        <m:sSup>
          <m:e>
            <m:r>
              <m:rPr>
                <m:sty m:val="p"/>
              </m:rPr>
              <m:t>e</m:t>
            </m:r>
          </m:e>
          <m:sup>
            <m:sSup>
              <m:e>
                <m:r>
                  <m:rPr>
                    <m:sty m:val="p"/>
                  </m:rPr>
                  <m:t>x</m:t>
                </m:r>
              </m:e>
              <m:sup>
                <m:r>
                  <m:rPr>
                    <m:sty m:val="p"/>
                  </m:rPr>
                  <m:t>2</m:t>
                </m:r>
              </m:sup>
            </m:sSup>
          </m:sup>
        </m:sSup>
      </m:oMath>
      <w:r>
        <w:t xml:space="preserve">. Il s'agit d'une corrélation "exponentielle du carré" donc non linéaire mais strictement croissante donc monotone. Il n'est donc pas étonnant que pour les valeurs</w:t>
      </w:r>
      <w:r>
        <w:t xml:space="preserve"> </w:t>
      </w:r>
      <m:oMath>
        <m:r>
          <m:rPr>
            <m:sty m:val="p"/>
          </m:rPr>
          <m:t>x</m:t>
        </m:r>
        <m:r>
          <m:rPr>
            <m:sty m:val="p"/>
          </m:rPr>
          <m:t>=</m:t>
        </m:r>
        <m:r>
          <m:rPr>
            <m:sty m:val="p"/>
          </m:rPr>
          <m:t>1</m:t>
        </m:r>
        <m:r>
          <m:rPr>
            <m:sty m:val="p"/>
          </m:rPr>
          <m:t>,</m:t>
        </m:r>
        <m:r>
          <m:rPr>
            <m:sty m:val="p"/>
          </m:rPr>
          <m:t>2</m:t>
        </m:r>
        <m:r>
          <m:rPr>
            <m:sty m:val="p"/>
          </m:rPr>
          <m:t>,</m:t>
        </m:r>
        <m:r>
          <m:rPr>
            <m:sty m:val="p"/>
          </m:rPr>
          <m:t>3</m:t>
        </m:r>
        <m:r>
          <m:rPr>
            <m:sty m:val="p"/>
          </m:rPr>
          <m:t>.</m:t>
        </m:r>
        <m:r>
          <m:rPr>
            <m:sty m:val="p"/>
          </m:rPr>
          <m:t>.</m:t>
        </m:r>
        <m:r>
          <m:rPr>
            <m:sty m:val="p"/>
          </m:rPr>
          <m:t>8</m:t>
        </m:r>
      </m:oMath>
      <w:r>
        <w:t xml:space="preserve">, on trouve une coefficient de corrélation de Pearson d'environ 0.577 et pour Spearman 1.000 exactement, avec comme p-values respectives 0.1340 et 0.0000.</w:t>
      </w:r>
    </w:p>
    <w:p>
      <w:r>
        <w:t xml:space="preserve">La courbe suivante qui n'est pas facile à lire (regarder les valeurs sur l'axe</w:t>
      </w:r>
      <w:r>
        <w:t xml:space="preserve"> </w:t>
      </w:r>
      <m:oMath>
        <m:r>
          <m:rPr>
            <m:sty m:val="p"/>
          </m:rPr>
          <m:t>Y</m:t>
        </m:r>
      </m:oMath>
      <w:r>
        <w:t xml:space="preserve">) résume ce phénomène :</w:t>
      </w:r>
    </w:p>
    <w:p>
      <w:r>
        <w:drawing>
          <wp:inline>
            <wp:extent cx="4610100" cy="3695700"/>
            <wp:effectExtent b="0" l="0" r="0" t="0"/>
            <wp:docPr descr="" id="1" name="Picture"/>
            <a:graphic>
              <a:graphicData uri="http://schemas.openxmlformats.org/drawingml/2006/picture">
                <pic:pic>
                  <pic:nvPicPr>
                    <pic:cNvPr descr="demor5Biostats_files/figure-docx/unnamed-chunk-2-1.png" id="0" name="Picture"/>
                    <pic:cNvPicPr>
                      <a:picLocks noChangeArrowheads="1" noChangeAspect="1"/>
                    </pic:cNvPicPr>
                  </pic:nvPicPr>
                  <pic:blipFill>
                    <a:blip r:embed="rId23"/>
                    <a:stretch>
                      <a:fillRect/>
                    </a:stretch>
                  </pic:blipFill>
                  <pic:spPr bwMode="auto">
                    <a:xfrm>
                      <a:off x="0" y="0"/>
                      <a:ext cx="4610100" cy="3695700"/>
                    </a:xfrm>
                    <a:prstGeom prst="rect">
                      <a:avLst/>
                    </a:prstGeom>
                    <a:noFill/>
                    <a:ln w="9525">
                      <a:noFill/>
                      <a:headEnd/>
                      <a:tailEnd/>
                    </a:ln>
                  </pic:spPr>
                </pic:pic>
              </a:graphicData>
            </a:graphic>
          </wp:inline>
        </w:drawing>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44a2e60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keepNext/>
      <w:keepLines/>
      <w:spacing w:before="240" w:after="240"/>
      <w:jc w:val="center"/>
    </w:pPr>
    <w:rPr>
      <w:sz w:val="30"/>
      <w:szCs w:val="30"/>
    </w:rPr>
  </w:style>
  <w:style w:type="paragraph" w:styleId="Author">
    <w:name w:val="Author"/>
    <w:next w:val="Normal"/>
    <w:qFormat/>
    <w:pPr>
      <w:keepNext/>
      <w:keepLines/>
      <w:jc w:val="center"/>
    </w:pPr>
  </w:style>
  <w:style w:type="paragraph" w:styleId="Date">
    <w:name w:val="Date"/>
    <w:next w:val="Normal"/>
    <w:qFormat/>
    <w:pPr>
      <w:keepNext/>
      <w:keepLines/>
      <w:jc w:val="center"/>
    </w:pPr>
  </w:style>
  <w:style w:type="paragraph" w:styleId="Abstract">
    <w:name w:val="Abstract"/>
    <w:basedOn w:val="Normal"/>
    <w:next w:val="Normal"/>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harTok">
    <w:name w:val="CharTok"/>
    <w:basedOn w:val="VerbatimChar"/>
    <w:rPr>
      <w:color w:val="4e9a06"/>
      <w:shd w:val="clear" w:fill="f8f8f8"/>
    </w:rPr>
  </w:style>
  <w:style w:type="character" w:customStyle="1" w:styleId="StringTok">
    <w:name w:val="StringTok"/>
    <w:basedOn w:val="VerbatimChar"/>
    <w:rPr>
      <w:color w:val="4e9a06"/>
      <w:shd w:val="clear" w:fill="f8f8f8"/>
    </w:rPr>
  </w:style>
  <w:style w:type="character" w:customStyle="1" w:styleId="CommentTok">
    <w:name w:val="CommentTok"/>
    <w:basedOn w:val="VerbatimChar"/>
    <w:rPr>
      <w:color w:val="8f5902"/>
      <w:shd w:val="clear" w:fill="f8f8f8"/>
      <w:i/>
    </w:rPr>
  </w:style>
  <w:style w:type="character" w:customStyle="1" w:styleId="OtherTok">
    <w:name w:val="OtherTok"/>
    <w:basedOn w:val="VerbatimChar"/>
    <w:rPr>
      <w:color w:val="8f5902"/>
      <w:shd w:val="clear" w:fill="f8f8f8"/>
    </w:rPr>
  </w:style>
  <w:style w:type="character" w:customStyle="1" w:styleId="AlertTok">
    <w:name w:val="AlertTok"/>
    <w:basedOn w:val="VerbatimChar"/>
    <w:rPr>
      <w:color w:val="ef2929"/>
      <w:shd w:val="clear" w:fill="f8f8f8"/>
    </w:rPr>
  </w:style>
  <w:style w:type="character" w:customStyle="1" w:styleId="FunctionTok">
    <w:name w:val="FunctionTok"/>
    <w:basedOn w:val="VerbatimChar"/>
    <w:rPr>
      <w:color w:val="000000"/>
      <w:shd w:val="clear" w:fill="f8f8f8"/>
    </w:rPr>
  </w:style>
  <w:style w:type="character" w:customStyle="1" w:styleId="RegionMarkerTok">
    <w:name w:val="RegionMarkerTok"/>
    <w:basedOn w:val="VerbatimChar"/>
    <w:rPr>
      <w:shd w:val="clear" w:fill="f8f8f8"/>
    </w:rPr>
  </w:style>
  <w:style w:type="character" w:customStyle="1" w:styleId="ErrorTok">
    <w:name w:val="ErrorTok"/>
    <w:basedOn w:val="VerbatimChar"/>
    <w:rPr>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23" Target="media/rId23.png"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Corrélations de Pearson et de Spearman</dc:title>
  <dc:creator/>
</cp:coreProperties>
</file>